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2"/>
          <w:szCs w:val="22"/>
        </w:rPr>
      </w:pPr>
      <w:r w:rsidDel="00000000" w:rsidR="00000000" w:rsidRPr="00000000">
        <w:rPr>
          <w:b w:val="1"/>
          <w:sz w:val="22"/>
          <w:szCs w:val="22"/>
          <w:rtl w:val="0"/>
        </w:rPr>
        <w:t xml:space="preserve">Reading Worksheet 2: Against Interpretation </w:t>
      </w:r>
    </w:p>
    <w:p w:rsidR="00000000" w:rsidDel="00000000" w:rsidP="00000000" w:rsidRDefault="00000000" w:rsidRPr="00000000" w14:paraId="00000002">
      <w:pPr>
        <w:rPr>
          <w:b w:val="1"/>
          <w:sz w:val="22"/>
          <w:szCs w:val="22"/>
        </w:rPr>
      </w:pPr>
      <w:r w:rsidDel="00000000" w:rsidR="00000000" w:rsidRPr="00000000">
        <w:rPr>
          <w:b w:val="1"/>
          <w:sz w:val="22"/>
          <w:szCs w:val="22"/>
          <w:rtl w:val="0"/>
        </w:rPr>
        <w:t xml:space="preserve">by Susan Sontag</w:t>
      </w:r>
    </w:p>
    <w:p w:rsidR="00000000" w:rsidDel="00000000" w:rsidP="00000000" w:rsidRDefault="00000000" w:rsidRPr="00000000" w14:paraId="00000003">
      <w:pPr>
        <w:rPr>
          <w:sz w:val="22"/>
          <w:szCs w:val="22"/>
        </w:rPr>
      </w:pPr>
      <w:r w:rsidDel="00000000" w:rsidR="00000000" w:rsidRPr="00000000">
        <w:rPr>
          <w:rtl w:val="0"/>
        </w:rPr>
      </w:r>
    </w:p>
    <w:p w:rsidR="00000000" w:rsidDel="00000000" w:rsidP="00000000" w:rsidRDefault="00000000" w:rsidRPr="00000000" w14:paraId="00000004">
      <w:pPr>
        <w:rPr>
          <w:sz w:val="20"/>
          <w:szCs w:val="20"/>
        </w:rPr>
      </w:pPr>
      <w:r w:rsidDel="00000000" w:rsidR="00000000" w:rsidRPr="00000000">
        <w:rPr>
          <w:sz w:val="20"/>
          <w:szCs w:val="20"/>
          <w:rtl w:val="0"/>
        </w:rPr>
        <w:t xml:space="preserve">As you are completing the second reading, fill out these questions in advance of our discussion. Bring this worksheet with you, </w:t>
      </w:r>
      <w:r w:rsidDel="00000000" w:rsidR="00000000" w:rsidRPr="00000000">
        <w:rPr>
          <w:sz w:val="20"/>
          <w:szCs w:val="20"/>
          <w:u w:val="single"/>
          <w:rtl w:val="0"/>
        </w:rPr>
        <w:t xml:space="preserve">already completed</w:t>
      </w:r>
      <w:r w:rsidDel="00000000" w:rsidR="00000000" w:rsidRPr="00000000">
        <w:rPr>
          <w:sz w:val="20"/>
          <w:szCs w:val="20"/>
          <w:rtl w:val="0"/>
        </w:rPr>
        <w:t xml:space="preserve"> out to our discussion of the reading. Leave the box at the bottom blank to take notes by hand during our discussion. I will collect these at the end of our discussion for credit.</w:t>
      </w:r>
    </w:p>
    <w:p w:rsidR="00000000" w:rsidDel="00000000" w:rsidP="00000000" w:rsidRDefault="00000000" w:rsidRPr="00000000" w14:paraId="00000005">
      <w:pPr>
        <w:rPr>
          <w:sz w:val="20"/>
          <w:szCs w:val="20"/>
        </w:rPr>
      </w:pP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sz w:val="20"/>
          <w:szCs w:val="20"/>
          <w:rtl w:val="0"/>
        </w:rPr>
        <w:t xml:space="preserve">There are many things to glean from this article, but these are some highlights that will guide our discussion. It is essential that as read, to be open to thinking about the ideas presented in possibly a new way. You will need to spend some time with this text and there will be words/shows to look up along the way as well. This is a different style of writing than the previous article, so it will likely take </w:t>
      </w:r>
      <w:r w:rsidDel="00000000" w:rsidR="00000000" w:rsidRPr="00000000">
        <w:rPr>
          <w:sz w:val="20"/>
          <w:szCs w:val="20"/>
          <w:u w:val="single"/>
          <w:rtl w:val="0"/>
        </w:rPr>
        <w:t xml:space="preserve">more time to process</w:t>
      </w:r>
      <w:r w:rsidDel="00000000" w:rsidR="00000000" w:rsidRPr="00000000">
        <w:rPr>
          <w:sz w:val="20"/>
          <w:szCs w:val="20"/>
          <w:rtl w:val="0"/>
        </w:rPr>
        <w:t xml:space="preserve"> even though it is significantly shorter. </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rPr>
          <w:sz w:val="20"/>
          <w:szCs w:val="20"/>
        </w:rPr>
      </w:pPr>
      <w:bookmarkStart w:colFirst="0" w:colLast="0" w:name="_gjdgxs" w:id="0"/>
      <w:bookmarkEnd w:id="0"/>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rPr>
          <w:sz w:val="20"/>
          <w:szCs w:val="20"/>
          <w:rtl w:val="0"/>
        </w:rPr>
        <w:t xml:space="preserve">In the beginning of the article, Plato’s critique of [memetic] art is mentioned. According to that passage, why is it that memetic art is “in need of defense?”</w:t>
      </w:r>
    </w:p>
    <w:p w:rsidR="00000000" w:rsidDel="00000000" w:rsidP="00000000" w:rsidRDefault="00000000" w:rsidRPr="00000000" w14:paraId="0000000A">
      <w:pPr>
        <w:rPr>
          <w:sz w:val="20"/>
          <w:szCs w:val="20"/>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rtl w:val="0"/>
        </w:rPr>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rPr>
          <w:sz w:val="20"/>
          <w:szCs w:val="20"/>
        </w:rPr>
      </w:pPr>
      <w:r w:rsidDel="00000000" w:rsidR="00000000" w:rsidRPr="00000000">
        <w:rPr>
          <w:sz w:val="20"/>
          <w:szCs w:val="20"/>
          <w:rtl w:val="0"/>
        </w:rPr>
        <w:t xml:space="preserve">Throughout the writing, Sontag discusses a specific version of interpretation that she opposes. What are some of the characteristics of this interpretation? </w:t>
      </w:r>
    </w:p>
    <w:p w:rsidR="00000000" w:rsidDel="00000000" w:rsidP="00000000" w:rsidRDefault="00000000" w:rsidRPr="00000000" w14:paraId="0000000E">
      <w:pPr>
        <w:rPr>
          <w:sz w:val="20"/>
          <w:szCs w:val="20"/>
        </w:rPr>
      </w:pPr>
      <w:r w:rsidDel="00000000" w:rsidR="00000000" w:rsidRPr="00000000">
        <w:rPr>
          <w:sz w:val="20"/>
          <w:szCs w:val="20"/>
          <w:rtl w:val="0"/>
        </w:rPr>
        <w:t xml:space="preserve">*She says “to interpret is to impoverish”</w:t>
      </w:r>
    </w:p>
    <w:p w:rsidR="00000000" w:rsidDel="00000000" w:rsidP="00000000" w:rsidRDefault="00000000" w:rsidRPr="00000000" w14:paraId="0000000F">
      <w:pPr>
        <w:rPr>
          <w:sz w:val="20"/>
          <w:szCs w:val="20"/>
        </w:rPr>
      </w:pPr>
      <w:r w:rsidDel="00000000" w:rsidR="00000000" w:rsidRPr="00000000">
        <w:rPr>
          <w:rtl w:val="0"/>
        </w:rPr>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rPr>
          <w:sz w:val="20"/>
          <w:szCs w:val="20"/>
          <w:rtl w:val="0"/>
        </w:rPr>
        <w:t xml:space="preserve">Why does Sontag find the “project of interpretation largely reactionary, [and] stifling?” </w:t>
      </w:r>
    </w:p>
    <w:p w:rsidR="00000000" w:rsidDel="00000000" w:rsidP="00000000" w:rsidRDefault="00000000" w:rsidRPr="00000000" w14:paraId="00000013">
      <w:pPr>
        <w:rPr>
          <w:i w:val="1"/>
          <w:sz w:val="20"/>
          <w:szCs w:val="20"/>
        </w:rPr>
      </w:pPr>
      <w:r w:rsidDel="00000000" w:rsidR="00000000" w:rsidRPr="00000000">
        <w:rPr>
          <w:rtl w:val="0"/>
        </w:rPr>
      </w:r>
    </w:p>
    <w:p w:rsidR="00000000" w:rsidDel="00000000" w:rsidP="00000000" w:rsidRDefault="00000000" w:rsidRPr="00000000" w14:paraId="00000014">
      <w:pPr>
        <w:rPr>
          <w:i w:val="1"/>
          <w:sz w:val="20"/>
          <w:szCs w:val="20"/>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color w:val="000000"/>
          <w:sz w:val="20"/>
          <w:szCs w:val="20"/>
        </w:rPr>
      </w:pPr>
      <w:r w:rsidDel="00000000" w:rsidR="00000000" w:rsidRPr="00000000">
        <w:rPr>
          <w:color w:val="000000"/>
          <w:sz w:val="20"/>
          <w:szCs w:val="20"/>
          <w:rtl w:val="0"/>
        </w:rPr>
        <w:t xml:space="preserve">The last thing that Sontag writes (pleas for in fact) is “In place of a hermeneutics of art we need an erotics of art.” What does she mean by this? How does this differ from interpretation? </w:t>
      </w:r>
    </w:p>
    <w:p w:rsidR="00000000" w:rsidDel="00000000" w:rsidP="00000000" w:rsidRDefault="00000000" w:rsidRPr="00000000" w14:paraId="00000017">
      <w:pPr>
        <w:rPr>
          <w:color w:val="000000"/>
          <w:sz w:val="20"/>
          <w:szCs w:val="20"/>
        </w:rPr>
      </w:pPr>
      <w:r w:rsidDel="00000000" w:rsidR="00000000" w:rsidRPr="00000000">
        <w:rPr>
          <w:rtl w:val="0"/>
        </w:rPr>
      </w:r>
    </w:p>
    <w:p w:rsidR="00000000" w:rsidDel="00000000" w:rsidP="00000000" w:rsidRDefault="00000000" w:rsidRPr="00000000" w14:paraId="00000018">
      <w:pPr>
        <w:rPr>
          <w:color w:val="000000"/>
          <w:sz w:val="20"/>
          <w:szCs w:val="20"/>
        </w:rPr>
      </w:pPr>
      <w:r w:rsidDel="00000000" w:rsidR="00000000" w:rsidRPr="00000000">
        <w:rPr>
          <w:rtl w:val="0"/>
        </w:rPr>
      </w:r>
    </w:p>
    <w:p w:rsidR="00000000" w:rsidDel="00000000" w:rsidP="00000000" w:rsidRDefault="00000000" w:rsidRPr="00000000" w14:paraId="00000019">
      <w:pPr>
        <w:rPr>
          <w:color w:val="000000"/>
          <w:sz w:val="20"/>
          <w:szCs w:val="20"/>
        </w:rPr>
      </w:pPr>
      <w:r w:rsidDel="00000000" w:rsidR="00000000" w:rsidRPr="00000000">
        <w:rPr>
          <w:rtl w:val="0"/>
        </w:rPr>
      </w:r>
    </w:p>
    <w:p w:rsidR="00000000" w:rsidDel="00000000" w:rsidP="00000000" w:rsidRDefault="00000000" w:rsidRPr="00000000" w14:paraId="0000001A">
      <w:pPr>
        <w:rPr>
          <w:color w:val="000000"/>
          <w:sz w:val="20"/>
          <w:szCs w:val="20"/>
          <w:u w:val="single"/>
        </w:rPr>
      </w:pPr>
      <w:r w:rsidDel="00000000" w:rsidR="00000000" w:rsidRPr="00000000">
        <w:rPr>
          <w:color w:val="000000"/>
          <w:sz w:val="20"/>
          <w:szCs w:val="20"/>
          <w:u w:val="single"/>
          <w:rtl w:val="0"/>
        </w:rPr>
        <w:t xml:space="preserve">Broad Application Question:</w:t>
      </w:r>
    </w:p>
    <w:p w:rsidR="00000000" w:rsidDel="00000000" w:rsidP="00000000" w:rsidRDefault="00000000" w:rsidRPr="00000000" w14:paraId="0000001B">
      <w:pPr>
        <w:rPr>
          <w:i w:val="1"/>
          <w:sz w:val="20"/>
          <w:szCs w:val="20"/>
        </w:rPr>
      </w:pPr>
      <w:r w:rsidDel="00000000" w:rsidR="00000000" w:rsidRPr="00000000">
        <w:rPr>
          <w:i w:val="1"/>
          <w:sz w:val="20"/>
          <w:szCs w:val="20"/>
          <w:rtl w:val="0"/>
        </w:rPr>
        <w:t xml:space="preserve">Sontag writes, “Real art has the capacity to make us nervous. By reducing the work of art to its content and then interpreting that, one tames the work of art. Interpretation makes art manageable, conformable.” How does this perhaps change/challenge the way art can function at a cultural level? What responsibilities come with the capacity of an artist to make a viewer “nervous?” </w:t>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sz w:val="20"/>
          <w:szCs w:val="20"/>
          <w:rtl w:val="0"/>
        </w:rPr>
        <w:t xml:space="preserve">Discussion Notes section: </w:t>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c>
          <w:tcPr/>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rPr>
                <w:rtl w:val="0"/>
              </w:rPr>
            </w:r>
          </w:p>
          <w:p w:rsidR="00000000" w:rsidDel="00000000" w:rsidP="00000000" w:rsidRDefault="00000000" w:rsidRPr="00000000" w14:paraId="00000025">
            <w:pPr>
              <w:rPr>
                <w:sz w:val="20"/>
                <w:szCs w:val="20"/>
              </w:rPr>
            </w:pP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rtl w:val="0"/>
              </w:rPr>
            </w:r>
          </w:p>
          <w:p w:rsidR="00000000" w:rsidDel="00000000" w:rsidP="00000000" w:rsidRDefault="00000000" w:rsidRPr="00000000" w14:paraId="00000027">
            <w:pPr>
              <w:rPr>
                <w:sz w:val="20"/>
                <w:szCs w:val="20"/>
              </w:rPr>
            </w:pPr>
            <w:r w:rsidDel="00000000" w:rsidR="00000000" w:rsidRPr="00000000">
              <w:rPr>
                <w:rtl w:val="0"/>
              </w:rPr>
            </w:r>
          </w:p>
        </w:tc>
      </w:tr>
    </w:tbl>
    <w:p w:rsidR="00000000" w:rsidDel="00000000" w:rsidP="00000000" w:rsidRDefault="00000000" w:rsidRPr="00000000" w14:paraId="00000028">
      <w:pPr>
        <w:rPr>
          <w:i w:val="1"/>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